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7" w:rsidRPr="003B12E0" w:rsidRDefault="00BF4B07" w:rsidP="00BF4B0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</w:pPr>
      <w:r w:rsidRPr="003B12E0"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 xml:space="preserve">ПЛАН  РАБОТЫ  ШКОЛЫ </w:t>
      </w:r>
    </w:p>
    <w:p w:rsidR="00BF4B07" w:rsidRPr="003B12E0" w:rsidRDefault="00BF4B07" w:rsidP="00BF4B0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3B12E0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НА  ОКТЯБРЬ </w:t>
      </w:r>
    </w:p>
    <w:p w:rsidR="00BF4B07" w:rsidRPr="003B12E0" w:rsidRDefault="003F1B21" w:rsidP="00BF4B0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>2022</w:t>
      </w:r>
      <w:r w:rsidR="00BF4B07" w:rsidRPr="003B12E0"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 xml:space="preserve"> – 20</w:t>
      </w:r>
      <w:r w:rsidR="00C71EB4" w:rsidRPr="003B12E0"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>2</w:t>
      </w:r>
      <w:r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 xml:space="preserve">3 </w:t>
      </w:r>
      <w:proofErr w:type="gramStart"/>
      <w:r w:rsidR="00BF4B07" w:rsidRPr="003B12E0"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>учебный</w:t>
      </w:r>
      <w:proofErr w:type="gramEnd"/>
      <w:r w:rsidR="00BF4B07" w:rsidRPr="003B12E0"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 xml:space="preserve"> год</w:t>
      </w:r>
      <w:r w:rsidR="003B12E0">
        <w:rPr>
          <w:rFonts w:asciiTheme="majorHAnsi" w:eastAsia="Batang" w:hAnsiTheme="majorHAnsi" w:cs="Times New Roman"/>
          <w:b/>
          <w:color w:val="943634" w:themeColor="accent2" w:themeShade="BF"/>
          <w:sz w:val="32"/>
          <w:szCs w:val="32"/>
        </w:rPr>
        <w:t>а</w:t>
      </w:r>
    </w:p>
    <w:tbl>
      <w:tblPr>
        <w:tblpPr w:leftFromText="180" w:rightFromText="180" w:bottomFromText="200" w:vertAnchor="text" w:horzAnchor="margin" w:tblpXSpec="center" w:tblpY="211"/>
        <w:tblOverlap w:val="never"/>
        <w:tblW w:w="103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6762"/>
        <w:gridCol w:w="1133"/>
        <w:gridCol w:w="1843"/>
      </w:tblGrid>
      <w:tr w:rsidR="00BF4B07" w:rsidTr="003B12E0">
        <w:trPr>
          <w:trHeight w:val="218"/>
        </w:trPr>
        <w:tc>
          <w:tcPr>
            <w:tcW w:w="612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62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 </w:t>
            </w:r>
          </w:p>
        </w:tc>
        <w:tc>
          <w:tcPr>
            <w:tcW w:w="1133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F4B07" w:rsidTr="007B71D5">
        <w:trPr>
          <w:trHeight w:val="260"/>
        </w:trPr>
        <w:tc>
          <w:tcPr>
            <w:tcW w:w="10350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BF4B07" w:rsidTr="003B12E0">
        <w:trPr>
          <w:trHeight w:val="638"/>
        </w:trPr>
        <w:tc>
          <w:tcPr>
            <w:tcW w:w="612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 по предупреждению пропусков по неуважительным причинам.</w:t>
            </w:r>
          </w:p>
        </w:tc>
        <w:tc>
          <w:tcPr>
            <w:tcW w:w="1133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3B12E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-10.10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Н.С.</w:t>
            </w:r>
          </w:p>
        </w:tc>
      </w:tr>
      <w:tr w:rsidR="00BF4B07" w:rsidTr="003B12E0">
        <w:trPr>
          <w:trHeight w:val="495"/>
        </w:trPr>
        <w:tc>
          <w:tcPr>
            <w:tcW w:w="612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внеурочной деятельности обучающихся в соответствии с содержанием, целями и задачами ФГОС ООО и НООО</w:t>
            </w:r>
          </w:p>
        </w:tc>
        <w:tc>
          <w:tcPr>
            <w:tcW w:w="113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</w:t>
            </w:r>
          </w:p>
        </w:tc>
      </w:tr>
      <w:tr w:rsidR="00BF4B07" w:rsidTr="003B12E0">
        <w:trPr>
          <w:trHeight w:val="570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УУД в 1</w:t>
            </w:r>
            <w:r w:rsidR="00BF4B07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(психологическая диагностика).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3B12E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  <w:r w:rsidR="00BF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BF4B07" w:rsidTr="003B12E0">
        <w:trPr>
          <w:trHeight w:val="561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3F1B21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ВПР в 5-9 классах</w:t>
            </w:r>
          </w:p>
        </w:tc>
        <w:tc>
          <w:tcPr>
            <w:tcW w:w="113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3F1B2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1-10.10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</w:tc>
      </w:tr>
      <w:tr w:rsidR="00BF4B07" w:rsidTr="003B12E0">
        <w:trPr>
          <w:trHeight w:val="610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школьных туров предметных олимпиад.</w:t>
            </w:r>
          </w:p>
        </w:tc>
        <w:tc>
          <w:tcPr>
            <w:tcW w:w="113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1-30.10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3F1B2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1B21" w:rsidRDefault="003F1B2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BF4B07" w:rsidTr="003B12E0">
        <w:trPr>
          <w:trHeight w:val="610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занятости во внеурочное время обучающихся, состоящих на профилактическом учёте, детей из семей «группы риска»</w:t>
            </w:r>
          </w:p>
        </w:tc>
        <w:tc>
          <w:tcPr>
            <w:tcW w:w="113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BF4B07" w:rsidTr="003B12E0">
        <w:trPr>
          <w:trHeight w:val="513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режимных моментов в группе продлённого дня. </w:t>
            </w:r>
          </w:p>
        </w:tc>
        <w:tc>
          <w:tcPr>
            <w:tcW w:w="113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19-23.10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BF4B07" w:rsidTr="003B12E0">
        <w:trPr>
          <w:trHeight w:val="345"/>
        </w:trPr>
        <w:tc>
          <w:tcPr>
            <w:tcW w:w="612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в ГДО для охраны жизни и здоровья детей</w:t>
            </w:r>
          </w:p>
        </w:tc>
        <w:tc>
          <w:tcPr>
            <w:tcW w:w="113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2-10.10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BF4B07" w:rsidTr="007B71D5">
        <w:trPr>
          <w:trHeight w:val="89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1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D4B4" w:themeFill="accent6" w:themeFillTint="66"/>
              </w:rPr>
              <w:t>МЕТОДИЧЕСКАЯ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совета, посвящённые проблемам реализации ФГОС СОО</w:t>
            </w:r>
          </w:p>
        </w:tc>
        <w:tc>
          <w:tcPr>
            <w:tcW w:w="113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этапа Всероссийской олимпиады школьников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pStyle w:val="a4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педагогических мастерских по изучению и внедрению современных образовательных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меч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3B12E0" w:rsidP="00174012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Матинян</w:t>
            </w:r>
            <w:proofErr w:type="spellEnd"/>
            <w:r w:rsidR="003F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«Реализация </w:t>
            </w:r>
            <w:proofErr w:type="gramStart"/>
            <w:r w:rsidR="003F1B21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="003F1B21">
              <w:rPr>
                <w:rFonts w:ascii="Times New Roman" w:hAnsi="Times New Roman" w:cs="Times New Roman"/>
                <w:sz w:val="24"/>
                <w:szCs w:val="24"/>
              </w:rPr>
              <w:t xml:space="preserve"> ФГОС на уровне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="00BF4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B07" w:rsidRDefault="00BF4B07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E33E2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</w:tcPr>
          <w:p w:rsidR="00BE33E2" w:rsidRDefault="00BE33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</w:tcPr>
          <w:p w:rsidR="00BE33E2" w:rsidRDefault="003F1B21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школы</w:t>
            </w:r>
            <w:r w:rsidR="00D42B94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по формированию фундаментальной грамотности с помощью дистанционных платформ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</w:tcPr>
          <w:p w:rsidR="00BE33E2" w:rsidRDefault="00D42B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</w:tcPr>
          <w:p w:rsidR="00BE33E2" w:rsidRDefault="00D42B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F4B07" w:rsidTr="007B71D5">
        <w:trPr>
          <w:trHeight w:val="70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ДИРЕКТОРЕ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«группы риска» в 9 и 11 классах. Организация работы по предупреждению неуспеваемости и ликвидац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пробелов в знаниях, умениях и навыках.  </w:t>
            </w:r>
          </w:p>
        </w:tc>
        <w:tc>
          <w:tcPr>
            <w:tcW w:w="1133" w:type="dxa"/>
            <w:vMerge w:val="restart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слабо мотивированными обучающимися.</w:t>
            </w:r>
          </w:p>
        </w:tc>
        <w:tc>
          <w:tcPr>
            <w:tcW w:w="1133" w:type="dxa"/>
            <w:vMerge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vAlign w:val="center"/>
            <w:hideMark/>
          </w:tcPr>
          <w:p w:rsidR="00BF4B07" w:rsidRDefault="00BF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кружков, клубов, спортивных секций.   </w:t>
            </w:r>
          </w:p>
        </w:tc>
        <w:tc>
          <w:tcPr>
            <w:tcW w:w="1133" w:type="dxa"/>
            <w:vMerge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vAlign w:val="center"/>
            <w:hideMark/>
          </w:tcPr>
          <w:p w:rsidR="00BF4B07" w:rsidRDefault="00BF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BF4B07" w:rsidTr="007B71D5">
        <w:trPr>
          <w:trHeight w:val="213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E33E2" w:rsidP="00BE33E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 учащихся по выбору предметов для проведения к</w:t>
            </w:r>
            <w:r w:rsidR="00BF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онсультации для учащихся 9 и 11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подготовки к ГИА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</w:tc>
      </w:tr>
      <w:tr w:rsidR="00BF4B07" w:rsidTr="007B71D5">
        <w:trPr>
          <w:trHeight w:val="86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 w:rsidP="0029506E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посвящённые  международным, государственным праздниками и Дням воинской славы России:</w:t>
            </w:r>
          </w:p>
          <w:p w:rsidR="00BF4B07" w:rsidRDefault="00BF4B07" w:rsidP="0029506E">
            <w:pPr>
              <w:pStyle w:val="a3"/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октября –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пожилых людей. 14 декабря 1990 года Генеральная Ассамблея ООН постановила считать 1 октября Международным днем пожилых людей.</w:t>
            </w:r>
          </w:p>
          <w:p w:rsidR="00BF4B07" w:rsidRDefault="00BF4B07" w:rsidP="0029506E">
            <w:pPr>
              <w:pStyle w:val="a3"/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октября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для 2016 года) Международный день школьных библиотек. Учрежден Международной ассоциацией школьных библиотек, отмечается в 4-й понедельник октября.</w:t>
            </w:r>
          </w:p>
          <w:p w:rsidR="00BF4B07" w:rsidRDefault="00BF4B07" w:rsidP="0029506E">
            <w:pPr>
              <w:pStyle w:val="a3"/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октября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– День учителя</w:t>
            </w:r>
          </w:p>
          <w:p w:rsidR="00BF4B07" w:rsidRDefault="00BF4B07" w:rsidP="0029506E">
            <w:pPr>
              <w:pStyle w:val="a3"/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 октября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113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618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F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графику</w:t>
            </w:r>
          </w:p>
        </w:tc>
        <w:tc>
          <w:tcPr>
            <w:tcW w:w="184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pStyle w:val="style6"/>
              <w:shd w:val="clear" w:color="auto" w:fill="FFFFFF"/>
              <w:spacing w:before="0" w:beforeAutospacing="0" w:after="0" w:afterAutospacing="0" w:line="276" w:lineRule="auto"/>
              <w:ind w:left="57" w:right="57"/>
              <w:jc w:val="both"/>
              <w:rPr>
                <w:color w:val="000000"/>
              </w:rPr>
            </w:pPr>
            <w:r>
              <w:t xml:space="preserve">День гражданской обороны 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F4B07" w:rsidRDefault="00BF618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2E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Е.А., Уваров В.В.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мероприятие «Учитель, перед именем твоим…»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618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3F1B2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 Дню пожилых людей.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И.В.</w:t>
            </w:r>
          </w:p>
        </w:tc>
      </w:tr>
      <w:tr w:rsidR="003B12E0" w:rsidTr="003B12E0">
        <w:trPr>
          <w:trHeight w:val="316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3B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3B12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и област</w:t>
            </w:r>
            <w:r w:rsidR="00BE33E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конкурсе  «Доброволец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3B12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BE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B12E0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3B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3B12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3B12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BE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pStyle w:val="style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и областной краеведческих конференциях «Отечество»</w:t>
            </w:r>
            <w:r w:rsidR="00BE3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F4B0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Л.В.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 – футболу  «Мяч в ворота»    8-11 класс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3B12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4B0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3F1B21" w:rsidP="003F1B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E33E2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конференции «Путь к успеху»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E33E2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3F1B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классных коллективов</w:t>
            </w:r>
            <w:bookmarkStart w:id="0" w:name="_GoBack"/>
            <w:bookmarkEnd w:id="0"/>
            <w:r w:rsidR="003C7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 </w:t>
            </w:r>
            <w:r w:rsidR="00BE3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мероприятия по финансовой грамотности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</w:tcPr>
          <w:p w:rsidR="00BE33E2" w:rsidRDefault="00BE33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И.В.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E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Детском экологическом форуме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BF4B07" w:rsidTr="007B71D5">
        <w:trPr>
          <w:trHeight w:val="70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РАБОТА СОЦИАЛЬНОГО ПЕДАГОГА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родительских собраний</w:t>
            </w:r>
          </w:p>
        </w:tc>
        <w:tc>
          <w:tcPr>
            <w:tcW w:w="113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25-30.10</w:t>
            </w:r>
          </w:p>
        </w:tc>
        <w:tc>
          <w:tcPr>
            <w:tcW w:w="184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Е.В.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 родителей подготовительной группы ГДО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Григорова Е.В., </w:t>
            </w:r>
            <w:r w:rsidR="00D42B94">
              <w:rPr>
                <w:rFonts w:ascii="Times New Roman" w:eastAsia="Times New Roman" w:hAnsi="Times New Roman" w:cs="Times New Roman"/>
                <w:sz w:val="24"/>
                <w:szCs w:val="24"/>
              </w:rPr>
              <w:t>Зиброва Н.Н.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Анкетирование обучающихся с целью выяснения их занятости во внеурочное время. Учёт и анализ использования свободного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занятость в кружках, секциях, клубах и т.д.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Е.В., Ларина Е.А.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материальной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Е.В., Ларина Е.А.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медосмотра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22-27.10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3B12E0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Е.В.,</w:t>
            </w:r>
          </w:p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 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посещаемостью объединений дополнительного образования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поведения.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осенних каникулах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 Григорова Е.В.</w:t>
            </w:r>
          </w:p>
        </w:tc>
      </w:tr>
      <w:tr w:rsidR="00BF4B07" w:rsidTr="007B71D5">
        <w:trPr>
          <w:trHeight w:val="232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ПСИХОЛОГО - ПЕДАГОГИЧЕСКОЙ СЛУЖБЫ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УУД и  адаптации учащихся 5-х классов к учебному процессу</w:t>
            </w:r>
          </w:p>
        </w:tc>
        <w:tc>
          <w:tcPr>
            <w:tcW w:w="113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1-6.10</w:t>
            </w:r>
          </w:p>
        </w:tc>
        <w:tc>
          <w:tcPr>
            <w:tcW w:w="184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социально-психологической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 детей, испытывающих трудности в обучении.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3C76D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обучающихся 1-х классов по выявлению эмоционального состояния в условиях адаптации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nil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1-х, 5-х классов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F4B07" w:rsidTr="007B71D5">
        <w:trPr>
          <w:trHeight w:val="250"/>
        </w:trPr>
        <w:tc>
          <w:tcPr>
            <w:tcW w:w="10350" w:type="dxa"/>
            <w:gridSpan w:val="4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thinThickThinSmallGap" w:sz="18" w:space="0" w:color="D99594" w:themeColor="accent2" w:themeTint="99"/>
              <w:right w:val="thinThickThinMediumGap" w:sz="12" w:space="0" w:color="C0504D" w:themeColor="accent2"/>
            </w:tcBorders>
            <w:shd w:val="clear" w:color="auto" w:fill="FBD4B4" w:themeFill="accent6" w:themeFillTint="66"/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БИБЛИОТЕКИ</w:t>
            </w:r>
          </w:p>
        </w:tc>
      </w:tr>
      <w:tr w:rsidR="00BF4B07" w:rsidTr="003B12E0">
        <w:trPr>
          <w:trHeight w:val="304"/>
        </w:trPr>
        <w:tc>
          <w:tcPr>
            <w:tcW w:w="61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«История Липецкого края» - беседа у книжной выставки.</w:t>
            </w:r>
          </w:p>
        </w:tc>
        <w:tc>
          <w:tcPr>
            <w:tcW w:w="113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1-10.10</w:t>
            </w:r>
          </w:p>
        </w:tc>
        <w:tc>
          <w:tcPr>
            <w:tcW w:w="1843" w:type="dxa"/>
            <w:tcBorders>
              <w:top w:val="thinThickThinSmallGap" w:sz="18" w:space="0" w:color="D99594" w:themeColor="accent2" w:themeTint="99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3C76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Н.А.</w:t>
            </w:r>
            <w:r w:rsidR="00BF4B07">
              <w:rPr>
                <w:rFonts w:ascii="Times New Roman" w:hAnsi="Times New Roman" w:cs="Times New Roman"/>
              </w:rPr>
              <w:t>кл</w:t>
            </w:r>
            <w:proofErr w:type="gramStart"/>
            <w:r w:rsidR="00BF4B07">
              <w:rPr>
                <w:rFonts w:ascii="Times New Roman" w:hAnsi="Times New Roman" w:cs="Times New Roman"/>
              </w:rPr>
              <w:t>.р</w:t>
            </w:r>
            <w:proofErr w:type="gramEnd"/>
            <w:r w:rsidR="00BF4B07">
              <w:rPr>
                <w:rFonts w:ascii="Times New Roman" w:hAnsi="Times New Roman" w:cs="Times New Roman"/>
              </w:rPr>
              <w:t>ук</w:t>
            </w:r>
            <w:proofErr w:type="spellEnd"/>
            <w:r w:rsidR="00BF4B07">
              <w:rPr>
                <w:rFonts w:ascii="Times New Roman" w:hAnsi="Times New Roman" w:cs="Times New Roman"/>
              </w:rPr>
              <w:t>-ли  8АБВ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Выставка «Наши друзья - газеты и журналы»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 w:rsidP="003B12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3C76DB">
            <w:pPr>
              <w:spacing w:after="0" w:line="240" w:lineRule="auto"/>
              <w:ind w:left="57" w:right="57"/>
            </w:pPr>
            <w:proofErr w:type="spellStart"/>
            <w:r w:rsidRPr="003C76DB">
              <w:rPr>
                <w:rFonts w:ascii="Times New Roman" w:hAnsi="Times New Roman" w:cs="Times New Roman"/>
              </w:rPr>
              <w:t>Лазнева</w:t>
            </w:r>
            <w:proofErr w:type="spellEnd"/>
            <w:r w:rsidRPr="003C76D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собрание:</w:t>
            </w:r>
          </w:p>
          <w:p w:rsidR="00BF4B07" w:rsidRDefault="00BF4B07" w:rsidP="002950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чтения наших детей</w:t>
            </w:r>
          </w:p>
          <w:p w:rsidR="00BF4B07" w:rsidRDefault="00BF4B07" w:rsidP="0029506E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Сохранность  «бесплатных» учебников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3C76DB">
            <w:pPr>
              <w:spacing w:after="0" w:line="240" w:lineRule="auto"/>
              <w:ind w:left="57" w:right="57"/>
            </w:pPr>
            <w:proofErr w:type="spellStart"/>
            <w:r w:rsidRPr="003C76DB">
              <w:rPr>
                <w:rFonts w:ascii="Times New Roman" w:hAnsi="Times New Roman" w:cs="Times New Roman"/>
              </w:rPr>
              <w:t>Лазнева</w:t>
            </w:r>
            <w:proofErr w:type="spellEnd"/>
            <w:r w:rsidRPr="003C76D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проверке учебников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3C76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3C76DB">
              <w:rPr>
                <w:rFonts w:ascii="Times New Roman" w:hAnsi="Times New Roman" w:cs="Times New Roman"/>
              </w:rPr>
              <w:t>Лазнева</w:t>
            </w:r>
            <w:proofErr w:type="spellEnd"/>
            <w:r w:rsidRPr="003C76DB">
              <w:rPr>
                <w:rFonts w:ascii="Times New Roman" w:hAnsi="Times New Roman" w:cs="Times New Roman"/>
              </w:rPr>
              <w:t xml:space="preserve"> Н.А.</w:t>
            </w:r>
          </w:p>
          <w:p w:rsidR="00BF4B07" w:rsidRDefault="003C76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И.В.</w:t>
            </w:r>
          </w:p>
        </w:tc>
      </w:tr>
      <w:tr w:rsidR="00BF4B07" w:rsidTr="003B12E0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« Молний» по итогам проверки состояния учебников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3C76DB" w:rsidRDefault="003C76DB" w:rsidP="003C76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3C76DB">
              <w:rPr>
                <w:rFonts w:ascii="Times New Roman" w:hAnsi="Times New Roman" w:cs="Times New Roman"/>
              </w:rPr>
              <w:t>Лазнева</w:t>
            </w:r>
            <w:proofErr w:type="spellEnd"/>
            <w:r w:rsidRPr="003C76DB">
              <w:rPr>
                <w:rFonts w:ascii="Times New Roman" w:hAnsi="Times New Roman" w:cs="Times New Roman"/>
              </w:rPr>
              <w:t xml:space="preserve"> Н.А.</w:t>
            </w:r>
          </w:p>
          <w:p w:rsidR="00BF4B07" w:rsidRDefault="003C76DB" w:rsidP="003C76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И.В.</w:t>
            </w:r>
          </w:p>
        </w:tc>
      </w:tr>
      <w:tr w:rsidR="00BF4B07" w:rsidTr="003B12E0">
        <w:trPr>
          <w:trHeight w:val="229"/>
        </w:trPr>
        <w:tc>
          <w:tcPr>
            <w:tcW w:w="61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24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24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</w:t>
            </w:r>
            <w:proofErr w:type="spellStart"/>
            <w:r>
              <w:rPr>
                <w:rFonts w:ascii="Times New Roman" w:hAnsi="Times New Roman" w:cs="Times New Roman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больницы»</w:t>
            </w:r>
          </w:p>
        </w:tc>
        <w:tc>
          <w:tcPr>
            <w:tcW w:w="113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24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BF4B0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24" w:space="0" w:color="D99594" w:themeColor="accent2" w:themeTint="99"/>
              <w:right w:val="thinThickThinMediumGap" w:sz="12" w:space="0" w:color="C0504D" w:themeColor="accent2"/>
            </w:tcBorders>
            <w:hideMark/>
          </w:tcPr>
          <w:p w:rsidR="00BF4B07" w:rsidRDefault="003C76DB">
            <w:pPr>
              <w:ind w:left="57" w:right="57"/>
            </w:pPr>
            <w:proofErr w:type="spellStart"/>
            <w:r w:rsidRPr="003C76DB">
              <w:rPr>
                <w:rFonts w:ascii="Times New Roman" w:hAnsi="Times New Roman" w:cs="Times New Roman"/>
              </w:rPr>
              <w:t>Лазнева</w:t>
            </w:r>
            <w:proofErr w:type="spellEnd"/>
            <w:r w:rsidRPr="003C76DB">
              <w:rPr>
                <w:rFonts w:ascii="Times New Roman" w:hAnsi="Times New Roman" w:cs="Times New Roman"/>
              </w:rPr>
              <w:t xml:space="preserve"> Н.А</w:t>
            </w:r>
          </w:p>
        </w:tc>
      </w:tr>
    </w:tbl>
    <w:p w:rsidR="00BF4B07" w:rsidRDefault="00BF4B07" w:rsidP="00BF4B07">
      <w:pPr>
        <w:jc w:val="center"/>
        <w:outlineLvl w:val="0"/>
        <w:rPr>
          <w:b/>
          <w:sz w:val="32"/>
          <w:szCs w:val="32"/>
        </w:rPr>
      </w:pPr>
    </w:p>
    <w:p w:rsidR="001F1ACD" w:rsidRDefault="001F1ACD"/>
    <w:sectPr w:rsidR="001F1ACD" w:rsidSect="00BD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D3D"/>
    <w:multiLevelType w:val="hybridMultilevel"/>
    <w:tmpl w:val="81BA4A56"/>
    <w:lvl w:ilvl="0" w:tplc="95B252D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A083A"/>
    <w:multiLevelType w:val="hybridMultilevel"/>
    <w:tmpl w:val="8F3685EE"/>
    <w:lvl w:ilvl="0" w:tplc="95B25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07FA2"/>
    <w:multiLevelType w:val="hybridMultilevel"/>
    <w:tmpl w:val="375AD4D8"/>
    <w:lvl w:ilvl="0" w:tplc="F646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B07"/>
    <w:rsid w:val="00174012"/>
    <w:rsid w:val="001F1ACD"/>
    <w:rsid w:val="002D100C"/>
    <w:rsid w:val="003B12E0"/>
    <w:rsid w:val="003C76DB"/>
    <w:rsid w:val="003F1B21"/>
    <w:rsid w:val="00450E12"/>
    <w:rsid w:val="007B71D5"/>
    <w:rsid w:val="00BD4E46"/>
    <w:rsid w:val="00BE33E2"/>
    <w:rsid w:val="00BF4B07"/>
    <w:rsid w:val="00BF6183"/>
    <w:rsid w:val="00C71EB4"/>
    <w:rsid w:val="00C8799F"/>
    <w:rsid w:val="00D42B94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F4B07"/>
    <w:pPr>
      <w:ind w:left="720"/>
      <w:contextualSpacing/>
    </w:pPr>
  </w:style>
  <w:style w:type="paragraph" w:customStyle="1" w:styleId="style6">
    <w:name w:val="style6"/>
    <w:basedOn w:val="a"/>
    <w:rsid w:val="00B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nnm</cp:lastModifiedBy>
  <cp:revision>15</cp:revision>
  <dcterms:created xsi:type="dcterms:W3CDTF">2018-09-11T12:55:00Z</dcterms:created>
  <dcterms:modified xsi:type="dcterms:W3CDTF">2022-10-06T19:21:00Z</dcterms:modified>
</cp:coreProperties>
</file>